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05" w:rsidRPr="00CC475F" w:rsidRDefault="001C6605" w:rsidP="001C6605">
      <w:pPr>
        <w:autoSpaceDE w:val="0"/>
        <w:autoSpaceDN w:val="0"/>
        <w:adjustRightInd w:val="0"/>
        <w:jc w:val="center"/>
        <w:rPr>
          <w:b/>
        </w:rPr>
      </w:pPr>
      <w:r w:rsidRPr="00CC475F">
        <w:rPr>
          <w:b/>
        </w:rPr>
        <w:t>ELEMENTS OF STANDING:</w:t>
      </w:r>
      <w:r w:rsidR="00DD5FB9" w:rsidRPr="00CC475F">
        <w:rPr>
          <w:b/>
        </w:rPr>
        <w:t xml:space="preserve"> </w:t>
      </w:r>
    </w:p>
    <w:p w:rsidR="001C6605" w:rsidRPr="00CC475F" w:rsidRDefault="001C6605" w:rsidP="001C6605">
      <w:pPr>
        <w:autoSpaceDE w:val="0"/>
        <w:autoSpaceDN w:val="0"/>
        <w:adjustRightInd w:val="0"/>
        <w:jc w:val="center"/>
        <w:rPr>
          <w:b/>
        </w:rPr>
      </w:pPr>
    </w:p>
    <w:p w:rsidR="001C6605" w:rsidRPr="00CC475F" w:rsidRDefault="001C6605" w:rsidP="001C6605">
      <w:pPr>
        <w:shd w:val="clear" w:color="auto" w:fill="FFFFFF"/>
        <w:spacing w:after="150"/>
        <w:rPr>
          <w:color w:val="333333"/>
          <w:lang w:eastAsia="es-MX"/>
        </w:rPr>
      </w:pPr>
      <w:r w:rsidRPr="00CC475F">
        <w:rPr>
          <w:color w:val="333333"/>
          <w:lang w:eastAsia="es-MX"/>
        </w:rPr>
        <w:t> </w:t>
      </w:r>
      <w:hyperlink r:id="rId6" w:history="1">
        <w:r w:rsidRPr="00CC475F">
          <w:rPr>
            <w:color w:val="001C72"/>
            <w:u w:val="single"/>
            <w:lang w:eastAsia="es-MX"/>
          </w:rPr>
          <w:t>Lujan v. Defenders of Wildlife (90-1424), 504 U.S. 555 (1992)</w:t>
        </w:r>
      </w:hyperlink>
      <w:r w:rsidRPr="00CC475F">
        <w:rPr>
          <w:color w:val="333333"/>
          <w:lang w:eastAsia="es-MX"/>
        </w:rPr>
        <w:t>, the </w:t>
      </w:r>
      <w:r w:rsidRPr="00CC475F">
        <w:rPr>
          <w:u w:val="single"/>
          <w:lang w:eastAsia="es-MX"/>
        </w:rPr>
        <w:t>Supreme Court</w:t>
      </w:r>
      <w:r w:rsidRPr="00CC475F">
        <w:rPr>
          <w:color w:val="333333"/>
          <w:lang w:eastAsia="es-MX"/>
        </w:rPr>
        <w:t xml:space="preserve"> created a </w:t>
      </w:r>
      <w:r w:rsidRPr="00CC475F">
        <w:rPr>
          <w:color w:val="333333"/>
          <w:highlight w:val="yellow"/>
          <w:lang w:eastAsia="es-MX"/>
        </w:rPr>
        <w:t>three-part test to determine whether a party has standing to sue</w:t>
      </w:r>
      <w:r w:rsidRPr="00CC475F">
        <w:rPr>
          <w:color w:val="333333"/>
          <w:lang w:eastAsia="es-MX"/>
        </w:rPr>
        <w:t>:</w:t>
      </w:r>
    </w:p>
    <w:p w:rsidR="001C6605" w:rsidRPr="00CC475F" w:rsidRDefault="001C6605" w:rsidP="001C660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lang w:eastAsia="es-MX"/>
        </w:rPr>
      </w:pPr>
      <w:r w:rsidRPr="00CC475F">
        <w:rPr>
          <w:color w:val="333333"/>
          <w:lang w:eastAsia="es-MX"/>
        </w:rPr>
        <w:t>The plaintiff must have suffered an "injury in fact," meaning that the injury is of a legally protected interest which is (a) concrete and particularized and (b) actual or imminent</w:t>
      </w:r>
    </w:p>
    <w:p w:rsidR="001C6605" w:rsidRPr="00CC475F" w:rsidRDefault="001C6605" w:rsidP="001C660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lang w:eastAsia="es-MX"/>
        </w:rPr>
      </w:pPr>
      <w:r w:rsidRPr="00CC475F">
        <w:rPr>
          <w:color w:val="333333"/>
          <w:lang w:eastAsia="es-MX"/>
        </w:rPr>
        <w:t>There must be a causal connection between the injury and the conduct brought before the court</w:t>
      </w:r>
    </w:p>
    <w:p w:rsidR="00F76679" w:rsidRPr="00CC475F" w:rsidRDefault="001C6605" w:rsidP="00F7667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lang w:eastAsia="es-MX"/>
        </w:rPr>
      </w:pPr>
      <w:r w:rsidRPr="00CC475F">
        <w:rPr>
          <w:color w:val="333333"/>
          <w:lang w:eastAsia="es-MX"/>
        </w:rPr>
        <w:t>It must be likely, rather than speculative, that a favorable decision by the court will redress the injury.</w:t>
      </w:r>
    </w:p>
    <w:p w:rsidR="001C6605" w:rsidRPr="00CC475F" w:rsidRDefault="001C6605" w:rsidP="001C6605">
      <w:pPr>
        <w:shd w:val="clear" w:color="auto" w:fill="FFFFFF"/>
        <w:spacing w:before="100" w:beforeAutospacing="1" w:after="100" w:afterAutospacing="1"/>
        <w:ind w:left="360"/>
        <w:rPr>
          <w:color w:val="333333"/>
          <w:lang w:eastAsia="es-MX"/>
        </w:rPr>
      </w:pPr>
      <w:r w:rsidRPr="00CC475F">
        <w:rPr>
          <w:color w:val="333333"/>
          <w:u w:val="single"/>
          <w:shd w:val="clear" w:color="auto" w:fill="FFFFFF"/>
        </w:rPr>
        <w:t>“</w:t>
      </w:r>
      <w:proofErr w:type="gramStart"/>
      <w:r w:rsidRPr="00CC475F">
        <w:rPr>
          <w:color w:val="333333"/>
          <w:u w:val="single"/>
          <w:shd w:val="clear" w:color="auto" w:fill="FFFFFF"/>
        </w:rPr>
        <w:t>respondents</w:t>
      </w:r>
      <w:proofErr w:type="gramEnd"/>
      <w:r w:rsidRPr="00CC475F">
        <w:rPr>
          <w:color w:val="333333"/>
          <w:u w:val="single"/>
          <w:shd w:val="clear" w:color="auto" w:fill="FFFFFF"/>
        </w:rPr>
        <w:t xml:space="preserve"> need not prove that they are actually or imminently harmed. </w:t>
      </w:r>
      <w:r w:rsidRPr="00CC475F">
        <w:rPr>
          <w:color w:val="333333"/>
          <w:highlight w:val="yellow"/>
          <w:u w:val="single"/>
          <w:shd w:val="clear" w:color="auto" w:fill="FFFFFF"/>
        </w:rPr>
        <w:t>They need show only a "genuine issue" of material fact as to standing</w:t>
      </w:r>
      <w:r w:rsidRPr="00CC475F">
        <w:rPr>
          <w:color w:val="333333"/>
          <w:shd w:val="clear" w:color="auto" w:fill="FFFFFF"/>
        </w:rPr>
        <w:t>. </w:t>
      </w:r>
      <w:proofErr w:type="spellStart"/>
      <w:r w:rsidRPr="00CC475F">
        <w:fldChar w:fldCharType="begin"/>
      </w:r>
      <w:r w:rsidRPr="00CC475F">
        <w:instrText xml:space="preserve"> HYPERLINK "https://www.law.cornell.edu/rules/frcp/rule_56" \l "rule_56_c" </w:instrText>
      </w:r>
      <w:r w:rsidRPr="00CC475F">
        <w:fldChar w:fldCharType="separate"/>
      </w:r>
      <w:r w:rsidRPr="00CC475F">
        <w:rPr>
          <w:rStyle w:val="Hyperlink"/>
          <w:color w:val="0068AC"/>
          <w:shd w:val="clear" w:color="auto" w:fill="FFFFFF"/>
        </w:rPr>
        <w:t>Fed.Rule</w:t>
      </w:r>
      <w:proofErr w:type="spellEnd"/>
      <w:r w:rsidRPr="00CC475F">
        <w:rPr>
          <w:rStyle w:val="Hyperlink"/>
          <w:color w:val="0068AC"/>
          <w:shd w:val="clear" w:color="auto" w:fill="FFFFFF"/>
        </w:rPr>
        <w:t xml:space="preserve"> </w:t>
      </w:r>
      <w:proofErr w:type="spellStart"/>
      <w:r w:rsidRPr="00CC475F">
        <w:rPr>
          <w:rStyle w:val="Hyperlink"/>
          <w:color w:val="0068AC"/>
          <w:shd w:val="clear" w:color="auto" w:fill="FFFFFF"/>
        </w:rPr>
        <w:t>Civ.Proc</w:t>
      </w:r>
      <w:proofErr w:type="spellEnd"/>
      <w:r w:rsidRPr="00CC475F">
        <w:rPr>
          <w:rStyle w:val="Hyperlink"/>
          <w:color w:val="0068AC"/>
          <w:shd w:val="clear" w:color="auto" w:fill="FFFFFF"/>
        </w:rPr>
        <w:t xml:space="preserve">. </w:t>
      </w:r>
      <w:proofErr w:type="gramStart"/>
      <w:r w:rsidRPr="00CC475F">
        <w:rPr>
          <w:rStyle w:val="Hyperlink"/>
          <w:color w:val="0068AC"/>
          <w:shd w:val="clear" w:color="auto" w:fill="FFFFFF"/>
        </w:rPr>
        <w:t>56(c)</w:t>
      </w:r>
      <w:r w:rsidRPr="00CC475F">
        <w:fldChar w:fldCharType="end"/>
      </w:r>
      <w:r w:rsidRPr="00CC475F">
        <w:rPr>
          <w:color w:val="333333"/>
          <w:shd w:val="clear" w:color="auto" w:fill="FFFFFF"/>
        </w:rPr>
        <w:t>.</w:t>
      </w:r>
      <w:proofErr w:type="gramEnd"/>
      <w:r w:rsidRPr="00CC475F">
        <w:rPr>
          <w:color w:val="333333"/>
          <w:shd w:val="clear" w:color="auto" w:fill="FFFFFF"/>
        </w:rPr>
        <w:t xml:space="preserve"> This is not a heavy burden. </w:t>
      </w:r>
      <w:r w:rsidRPr="00CC475F">
        <w:rPr>
          <w:color w:val="333333"/>
          <w:u w:val="single"/>
          <w:shd w:val="clear" w:color="auto" w:fill="FFFFFF"/>
        </w:rPr>
        <w:t>A "genuine issue" exists so long as "the evidence is such that a reasonable jury could return a verdict for the nonmoving party [respondents]</w:t>
      </w:r>
      <w:r w:rsidRPr="00CC475F">
        <w:rPr>
          <w:color w:val="333333"/>
          <w:shd w:val="clear" w:color="auto" w:fill="FFFFFF"/>
        </w:rPr>
        <w:t>." </w:t>
      </w:r>
      <w:proofErr w:type="gramStart"/>
      <w:r w:rsidRPr="00CC475F">
        <w:rPr>
          <w:rStyle w:val="Emphasis"/>
          <w:color w:val="333333"/>
          <w:shd w:val="clear" w:color="auto" w:fill="FFFFFF"/>
        </w:rPr>
        <w:t>Anderson v. Liberty Lobby, Inc.,</w:t>
      </w:r>
      <w:r w:rsidRPr="00CC475F">
        <w:rPr>
          <w:color w:val="333333"/>
          <w:shd w:val="clear" w:color="auto" w:fill="FFFFFF"/>
        </w:rPr>
        <w:t> </w:t>
      </w:r>
      <w:hyperlink r:id="rId7" w:history="1">
        <w:r w:rsidRPr="00CC475F">
          <w:rPr>
            <w:rStyle w:val="Hyperlink"/>
            <w:color w:val="0068AC"/>
            <w:shd w:val="clear" w:color="auto" w:fill="FFFFFF"/>
          </w:rPr>
          <w:t>477 U.S. 242</w:t>
        </w:r>
      </w:hyperlink>
      <w:r w:rsidRPr="00CC475F">
        <w:rPr>
          <w:color w:val="333333"/>
          <w:shd w:val="clear" w:color="auto" w:fill="FFFFFF"/>
        </w:rPr>
        <w:t>, </w:t>
      </w:r>
      <w:hyperlink r:id="rId8" w:history="1">
        <w:r w:rsidRPr="00CC475F">
          <w:rPr>
            <w:rStyle w:val="Hyperlink"/>
            <w:color w:val="0068AC"/>
            <w:shd w:val="clear" w:color="auto" w:fill="FFFFFF"/>
          </w:rPr>
          <w:t>248</w:t>
        </w:r>
      </w:hyperlink>
      <w:r w:rsidRPr="00CC475F">
        <w:rPr>
          <w:color w:val="333333"/>
          <w:shd w:val="clear" w:color="auto" w:fill="FFFFFF"/>
        </w:rPr>
        <w:t xml:space="preserve">, 106 </w:t>
      </w:r>
      <w:proofErr w:type="spellStart"/>
      <w:r w:rsidRPr="00CC475F">
        <w:rPr>
          <w:color w:val="333333"/>
          <w:shd w:val="clear" w:color="auto" w:fill="FFFFFF"/>
        </w:rPr>
        <w:t>S.Ct</w:t>
      </w:r>
      <w:proofErr w:type="spellEnd"/>
      <w:r w:rsidRPr="00CC475F">
        <w:rPr>
          <w:color w:val="333333"/>
          <w:shd w:val="clear" w:color="auto" w:fill="FFFFFF"/>
        </w:rPr>
        <w:t>. 2505, 2510, 91 L.Ed.2d 202 (1986).</w:t>
      </w:r>
      <w:proofErr w:type="gramEnd"/>
    </w:p>
    <w:p w:rsidR="001C6605" w:rsidRPr="00CC475F" w:rsidRDefault="001C6605" w:rsidP="001C6605">
      <w:pPr>
        <w:jc w:val="center"/>
        <w:rPr>
          <w:b/>
        </w:rPr>
      </w:pPr>
      <w:r w:rsidRPr="00CC475F">
        <w:rPr>
          <w:b/>
        </w:rPr>
        <w:t>ELEMENTS OF A CONTRACT:</w:t>
      </w:r>
      <w:r w:rsidR="00DD5FB9" w:rsidRPr="00CC475F">
        <w:rPr>
          <w:b/>
        </w:rPr>
        <w:t xml:space="preserve"> (VOID CONTRACT AB INITIO)</w:t>
      </w:r>
    </w:p>
    <w:p w:rsidR="001C6605" w:rsidRPr="00CC475F" w:rsidRDefault="001C6605" w:rsidP="001C6605">
      <w:r w:rsidRPr="00CC475F">
        <w:t xml:space="preserve">A contract is an agreement between parties, creating mutual obligations that are enforceable by law. The basic elements required for the agreement to be a legally enforceable contract are: mutual assent, </w:t>
      </w:r>
      <w:bookmarkStart w:id="0" w:name="_GoBack"/>
      <w:bookmarkEnd w:id="0"/>
    </w:p>
    <w:p w:rsidR="001C6605" w:rsidRPr="00CC475F" w:rsidRDefault="001C6605" w:rsidP="001C6605">
      <w:pPr>
        <w:pStyle w:val="ListParagraph"/>
        <w:numPr>
          <w:ilvl w:val="0"/>
          <w:numId w:val="5"/>
        </w:numPr>
        <w:spacing w:line="276" w:lineRule="auto"/>
      </w:pPr>
      <w:r w:rsidRPr="00CC475F">
        <w:t>expressed by a valid offer and acceptance; (complete disclosure/mutual understanding)</w:t>
      </w:r>
    </w:p>
    <w:p w:rsidR="001C6605" w:rsidRPr="00CC475F" w:rsidRDefault="001C6605" w:rsidP="001C6605">
      <w:pPr>
        <w:pStyle w:val="ListParagraph"/>
        <w:numPr>
          <w:ilvl w:val="0"/>
          <w:numId w:val="5"/>
        </w:numPr>
        <w:spacing w:line="276" w:lineRule="auto"/>
      </w:pPr>
      <w:r w:rsidRPr="00CC475F">
        <w:t xml:space="preserve">adequate consideration; </w:t>
      </w:r>
    </w:p>
    <w:p w:rsidR="001C6605" w:rsidRPr="00CC475F" w:rsidRDefault="001C6605" w:rsidP="001C6605">
      <w:pPr>
        <w:pStyle w:val="ListParagraph"/>
        <w:numPr>
          <w:ilvl w:val="0"/>
          <w:numId w:val="5"/>
        </w:numPr>
        <w:spacing w:line="276" w:lineRule="auto"/>
        <w:rPr>
          <w:b/>
          <w:u w:val="single"/>
        </w:rPr>
      </w:pPr>
      <w:r w:rsidRPr="00CC475F">
        <w:rPr>
          <w:b/>
          <w:u w:val="single"/>
        </w:rPr>
        <w:t xml:space="preserve">capacity; </w:t>
      </w:r>
    </w:p>
    <w:p w:rsidR="001C6605" w:rsidRPr="00CC475F" w:rsidRDefault="001C6605" w:rsidP="001C6605">
      <w:pPr>
        <w:pStyle w:val="ListParagraph"/>
        <w:numPr>
          <w:ilvl w:val="0"/>
          <w:numId w:val="5"/>
        </w:numPr>
        <w:spacing w:line="276" w:lineRule="auto"/>
      </w:pPr>
      <w:proofErr w:type="gramStart"/>
      <w:r w:rsidRPr="00CC475F">
        <w:t>and</w:t>
      </w:r>
      <w:proofErr w:type="gramEnd"/>
      <w:r w:rsidRPr="00CC475F">
        <w:t xml:space="preserve"> legality. </w:t>
      </w:r>
    </w:p>
    <w:p w:rsidR="0004582D" w:rsidRPr="00CC475F" w:rsidRDefault="001C6605" w:rsidP="001C6605">
      <w:pPr>
        <w:pStyle w:val="NormalWeb"/>
        <w:shd w:val="clear" w:color="auto" w:fill="FFFFFF"/>
        <w:spacing w:before="120" w:beforeAutospacing="0" w:after="240" w:afterAutospacing="0"/>
        <w:jc w:val="center"/>
        <w:rPr>
          <w:color w:val="202122"/>
          <w:lang w:val="en-US"/>
        </w:rPr>
      </w:pPr>
      <w:r w:rsidRPr="00CC475F">
        <w:rPr>
          <w:b/>
          <w:color w:val="202122"/>
          <w:lang w:val="en-US"/>
        </w:rPr>
        <w:t>ELEMENTS OF PROMISSORY ESTOPPEL</w:t>
      </w:r>
      <w:r w:rsidR="0004582D" w:rsidRPr="00CC475F">
        <w:rPr>
          <w:color w:val="202122"/>
          <w:lang w:val="en-US"/>
        </w:rPr>
        <w:t>:</w:t>
      </w:r>
    </w:p>
    <w:p w:rsidR="0004582D" w:rsidRPr="00CC475F" w:rsidRDefault="0004582D" w:rsidP="001C6605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r w:rsidRPr="00CC475F">
        <w:rPr>
          <w:color w:val="202122"/>
        </w:rPr>
        <w:t>an express or implied promise;</w:t>
      </w:r>
    </w:p>
    <w:p w:rsidR="0004582D" w:rsidRPr="00CC475F" w:rsidRDefault="0004582D" w:rsidP="001C6605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r w:rsidRPr="00CC475F">
        <w:rPr>
          <w:color w:val="202122"/>
        </w:rPr>
        <w:t xml:space="preserve">detrimental reliance by the </w:t>
      </w:r>
      <w:proofErr w:type="spellStart"/>
      <w:r w:rsidRPr="00CC475F">
        <w:rPr>
          <w:color w:val="202122"/>
        </w:rPr>
        <w:t>promisee</w:t>
      </w:r>
      <w:proofErr w:type="spellEnd"/>
      <w:r w:rsidRPr="00CC475F">
        <w:rPr>
          <w:color w:val="202122"/>
        </w:rPr>
        <w:t xml:space="preserve"> foreseeable to a reasonable person in the </w:t>
      </w:r>
      <w:proofErr w:type="spellStart"/>
      <w:r w:rsidRPr="00CC475F">
        <w:rPr>
          <w:color w:val="202122"/>
        </w:rPr>
        <w:t>promissor's</w:t>
      </w:r>
      <w:proofErr w:type="spellEnd"/>
      <w:r w:rsidRPr="00CC475F">
        <w:rPr>
          <w:color w:val="202122"/>
        </w:rPr>
        <w:t xml:space="preserve"> position;</w:t>
      </w:r>
    </w:p>
    <w:p w:rsidR="0004582D" w:rsidRPr="00CC475F" w:rsidRDefault="0004582D" w:rsidP="001C6605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r w:rsidRPr="00CC475F">
        <w:rPr>
          <w:color w:val="202122"/>
        </w:rPr>
        <w:t xml:space="preserve">actual detrimental reliance by the </w:t>
      </w:r>
      <w:proofErr w:type="spellStart"/>
      <w:r w:rsidRPr="00CC475F">
        <w:rPr>
          <w:color w:val="202122"/>
        </w:rPr>
        <w:t>promisee</w:t>
      </w:r>
      <w:proofErr w:type="spellEnd"/>
      <w:r w:rsidRPr="00CC475F">
        <w:rPr>
          <w:color w:val="202122"/>
        </w:rPr>
        <w:t xml:space="preserve"> (worsening of their position); and</w:t>
      </w:r>
    </w:p>
    <w:p w:rsidR="0004582D" w:rsidRPr="00CC475F" w:rsidRDefault="0004582D" w:rsidP="001C6605">
      <w:pPr>
        <w:numPr>
          <w:ilvl w:val="0"/>
          <w:numId w:val="1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proofErr w:type="gramStart"/>
      <w:r w:rsidRPr="00CC475F">
        <w:rPr>
          <w:color w:val="202122"/>
        </w:rPr>
        <w:t>for</w:t>
      </w:r>
      <w:proofErr w:type="gramEnd"/>
      <w:r w:rsidRPr="00CC475F">
        <w:rPr>
          <w:color w:val="202122"/>
        </w:rPr>
        <w:t xml:space="preserve"> specific performance (as opposed to reliance damages), injustice can only be avoided by enforcing the promise.</w:t>
      </w:r>
    </w:p>
    <w:p w:rsidR="0004582D" w:rsidRPr="00CC475F" w:rsidRDefault="0004582D" w:rsidP="001C6605">
      <w:pPr>
        <w:shd w:val="clear" w:color="auto" w:fill="FFFFFF"/>
        <w:spacing w:before="100" w:beforeAutospacing="1" w:after="24"/>
        <w:ind w:left="384"/>
        <w:rPr>
          <w:color w:val="202122"/>
        </w:rPr>
      </w:pPr>
    </w:p>
    <w:p w:rsidR="0004582D" w:rsidRPr="00CC475F" w:rsidRDefault="001C6605" w:rsidP="001C6605">
      <w:pPr>
        <w:shd w:val="clear" w:color="auto" w:fill="FFFFFF"/>
        <w:spacing w:after="60"/>
        <w:jc w:val="center"/>
        <w:outlineLvl w:val="2"/>
        <w:rPr>
          <w:b/>
          <w:bCs/>
          <w:lang w:eastAsia="es-MX"/>
        </w:rPr>
      </w:pPr>
      <w:r w:rsidRPr="00CC475F">
        <w:rPr>
          <w:b/>
          <w:bCs/>
          <w:lang w:eastAsia="es-MX"/>
        </w:rPr>
        <w:t>ELEMENTS OF UNJUST ENRICHMENT:</w:t>
      </w:r>
    </w:p>
    <w:p w:rsidR="0004582D" w:rsidRPr="00CC475F" w:rsidRDefault="0004582D" w:rsidP="001C6605">
      <w:pPr>
        <w:shd w:val="clear" w:color="auto" w:fill="FFFFFF"/>
        <w:spacing w:before="120" w:after="240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The elements of this cause of action are:</w:t>
      </w:r>
    </w:p>
    <w:p w:rsidR="0004582D" w:rsidRPr="00CC475F" w:rsidRDefault="0004582D" w:rsidP="001C660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conferral of a benefit on another;</w:t>
      </w:r>
      <w:r w:rsidR="00DD5FB9" w:rsidRPr="00CC475F">
        <w:rPr>
          <w:color w:val="202122"/>
          <w:lang w:eastAsia="es-MX"/>
        </w:rPr>
        <w:t xml:space="preserve"> </w:t>
      </w:r>
    </w:p>
    <w:p w:rsidR="0004582D" w:rsidRPr="00CC475F" w:rsidRDefault="0004582D" w:rsidP="001C660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the other's knowledge of the benefit;</w:t>
      </w:r>
    </w:p>
    <w:p w:rsidR="0004582D" w:rsidRPr="00CC475F" w:rsidRDefault="0004582D" w:rsidP="001C660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the other's acceptance or retention of the benefit;</w:t>
      </w:r>
    </w:p>
    <w:p w:rsidR="0004582D" w:rsidRPr="00CC475F" w:rsidRDefault="0004582D" w:rsidP="001C660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rPr>
          <w:color w:val="202122"/>
          <w:lang w:eastAsia="es-MX"/>
        </w:rPr>
      </w:pPr>
      <w:proofErr w:type="gramStart"/>
      <w:r w:rsidRPr="00CC475F">
        <w:rPr>
          <w:color w:val="202122"/>
          <w:lang w:eastAsia="es-MX"/>
        </w:rPr>
        <w:t>circumstances</w:t>
      </w:r>
      <w:proofErr w:type="gramEnd"/>
      <w:r w:rsidRPr="00CC475F">
        <w:rPr>
          <w:color w:val="202122"/>
          <w:lang w:eastAsia="es-MX"/>
        </w:rPr>
        <w:t xml:space="preserve"> requiring the other to pay the fair value for the benefit to avoid inequity.</w:t>
      </w:r>
    </w:p>
    <w:p w:rsidR="0004582D" w:rsidRPr="00CC475F" w:rsidRDefault="00CC475F" w:rsidP="001C6605">
      <w:pPr>
        <w:numPr>
          <w:ilvl w:val="0"/>
          <w:numId w:val="2"/>
        </w:numPr>
        <w:shd w:val="clear" w:color="auto" w:fill="FFFFFF"/>
        <w:spacing w:before="100" w:beforeAutospacing="1" w:after="24"/>
        <w:ind w:left="384"/>
        <w:rPr>
          <w:color w:val="202122"/>
          <w:lang w:eastAsia="es-MX"/>
        </w:rPr>
      </w:pPr>
      <w:hyperlink r:id="rId9" w:tooltip="Britton v. Turner" w:history="1">
        <w:r w:rsidR="0004582D" w:rsidRPr="00CC475F">
          <w:rPr>
            <w:i/>
            <w:iCs/>
            <w:color w:val="0000FF"/>
            <w:lang w:eastAsia="es-MX"/>
          </w:rPr>
          <w:t>Britton v. Turner</w:t>
        </w:r>
      </w:hyperlink>
      <w:r w:rsidR="0004582D" w:rsidRPr="00CC475F">
        <w:rPr>
          <w:color w:val="202122"/>
          <w:lang w:eastAsia="es-MX"/>
        </w:rPr>
        <w:t>, 6 N.H. 481 (1834) an employee who left work on a farm after nine months, but had contracted to be paid $120 at the end of one year, was entitled to receive some payment ($95) even though the contract was not completed.</w:t>
      </w:r>
    </w:p>
    <w:p w:rsidR="00A96A52" w:rsidRPr="00CC475F" w:rsidRDefault="00CC475F" w:rsidP="001C6605"/>
    <w:p w:rsidR="001C6605" w:rsidRPr="00CC475F" w:rsidRDefault="001C6605" w:rsidP="001C6605">
      <w:pPr>
        <w:autoSpaceDE w:val="0"/>
        <w:autoSpaceDN w:val="0"/>
        <w:adjustRightInd w:val="0"/>
        <w:jc w:val="center"/>
        <w:rPr>
          <w:b/>
          <w:bCs/>
        </w:rPr>
      </w:pPr>
      <w:r w:rsidRPr="00CC475F">
        <w:rPr>
          <w:b/>
          <w:bCs/>
        </w:rPr>
        <w:t>ELEMENTS OF FRAUDULENT MISREPRESENTATION</w:t>
      </w:r>
      <w:r w:rsidR="00DD5FB9" w:rsidRPr="00CC475F">
        <w:rPr>
          <w:b/>
          <w:bCs/>
        </w:rPr>
        <w:t xml:space="preserve"> (CANCEL CONTRACT)</w:t>
      </w:r>
    </w:p>
    <w:p w:rsidR="001C6605" w:rsidRPr="00CC475F" w:rsidRDefault="001C6605" w:rsidP="001C6605">
      <w:pPr>
        <w:autoSpaceDE w:val="0"/>
        <w:autoSpaceDN w:val="0"/>
        <w:adjustRightInd w:val="0"/>
        <w:rPr>
          <w:b/>
          <w:bCs/>
        </w:rPr>
      </w:pPr>
    </w:p>
    <w:p w:rsidR="001C6605" w:rsidRPr="00CC475F" w:rsidRDefault="001C6605" w:rsidP="001C6605">
      <w:pPr>
        <w:autoSpaceDE w:val="0"/>
        <w:autoSpaceDN w:val="0"/>
        <w:adjustRightInd w:val="0"/>
      </w:pPr>
      <w:r w:rsidRPr="00CC475F">
        <w:rPr>
          <w:b/>
          <w:bCs/>
        </w:rPr>
        <w:t xml:space="preserve">See: Derry </w:t>
      </w:r>
      <w:r w:rsidRPr="00CC475F">
        <w:rPr>
          <w:i/>
          <w:iCs/>
        </w:rPr>
        <w:t xml:space="preserve">v </w:t>
      </w:r>
      <w:r w:rsidRPr="00CC475F">
        <w:rPr>
          <w:b/>
          <w:bCs/>
        </w:rPr>
        <w:t xml:space="preserve">Peek </w:t>
      </w:r>
      <w:r w:rsidRPr="00CC475F">
        <w:t>where it was stated that fraudulent misrepresentation is</w:t>
      </w:r>
      <w:r w:rsidR="00DD5FB9" w:rsidRPr="00CC475F">
        <w:t xml:space="preserve"> </w:t>
      </w:r>
      <w:r w:rsidRPr="00CC475F">
        <w:t>a false statement that is made: ‘</w:t>
      </w:r>
    </w:p>
    <w:p w:rsidR="001C6605" w:rsidRPr="00CC475F" w:rsidRDefault="001C6605" w:rsidP="001C6605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CC475F">
        <w:t xml:space="preserve">knowingly, or </w:t>
      </w:r>
    </w:p>
    <w:p w:rsidR="001C6605" w:rsidRPr="00CC475F" w:rsidRDefault="001C6605" w:rsidP="001C6605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CC475F">
        <w:t xml:space="preserve">(ii) without belief in its truth, or </w:t>
      </w:r>
    </w:p>
    <w:p w:rsidR="001C6605" w:rsidRPr="00CC475F" w:rsidRDefault="001C6605" w:rsidP="001C6605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CC475F">
        <w:t xml:space="preserve">(iii) </w:t>
      </w:r>
      <w:proofErr w:type="gramStart"/>
      <w:r w:rsidRPr="00CC475F">
        <w:t>recklessly</w:t>
      </w:r>
      <w:proofErr w:type="gramEnd"/>
      <w:r w:rsidRPr="00CC475F">
        <w:t xml:space="preserve"> as to whether it be true or false.’ </w:t>
      </w:r>
    </w:p>
    <w:p w:rsidR="001C6605" w:rsidRPr="00CC475F" w:rsidRDefault="001C6605" w:rsidP="001C6605">
      <w:pPr>
        <w:autoSpaceDE w:val="0"/>
        <w:autoSpaceDN w:val="0"/>
        <w:adjustRightInd w:val="0"/>
      </w:pPr>
    </w:p>
    <w:p w:rsidR="001C6605" w:rsidRPr="00CC475F" w:rsidRDefault="001C6605" w:rsidP="001C6605">
      <w:pPr>
        <w:autoSpaceDE w:val="0"/>
        <w:autoSpaceDN w:val="0"/>
        <w:adjustRightInd w:val="0"/>
      </w:pPr>
      <w:r w:rsidRPr="00CC475F">
        <w:t xml:space="preserve">It is possible that Paul </w:t>
      </w:r>
      <w:r w:rsidRPr="00CC475F">
        <w:rPr>
          <w:u w:val="single"/>
        </w:rPr>
        <w:t>made his statement recklessly</w:t>
      </w:r>
      <w:r w:rsidRPr="00CC475F">
        <w:t xml:space="preserve"> and that the statement will therefore amount to </w:t>
      </w:r>
      <w:r w:rsidRPr="00CC475F">
        <w:rPr>
          <w:u w:val="single"/>
        </w:rPr>
        <w:t>fraudulent misrepresentation</w:t>
      </w:r>
      <w:r w:rsidRPr="00CC475F">
        <w:t>. Alternatively, it was undoubtedly made negligently and would amount to negligent misrepresentation both under statute and under common law. Fraudulent</w:t>
      </w:r>
    </w:p>
    <w:p w:rsidR="001C6605" w:rsidRPr="00CC475F" w:rsidRDefault="001C6605" w:rsidP="001C6605">
      <w:proofErr w:type="gramStart"/>
      <w:r w:rsidRPr="00CC475F">
        <w:t>and</w:t>
      </w:r>
      <w:proofErr w:type="gramEnd"/>
      <w:r w:rsidRPr="00CC475F">
        <w:t xml:space="preserve"> negligent misrepresentation both give rise to a right to damages.</w:t>
      </w:r>
    </w:p>
    <w:p w:rsidR="001C6605" w:rsidRPr="00CC475F" w:rsidRDefault="001C6605" w:rsidP="001C6605"/>
    <w:p w:rsidR="001C6605" w:rsidRPr="00CC475F" w:rsidRDefault="001C6605" w:rsidP="001C6605">
      <w:pPr>
        <w:shd w:val="clear" w:color="auto" w:fill="FFFFFF"/>
        <w:spacing w:before="120" w:after="240"/>
        <w:rPr>
          <w:lang w:eastAsia="es-MX"/>
        </w:rPr>
      </w:pPr>
      <w:r w:rsidRPr="00CC475F">
        <w:rPr>
          <w:b/>
          <w:bCs/>
          <w:i/>
          <w:iCs/>
          <w:color w:val="202122"/>
          <w:lang w:eastAsia="es-MX"/>
        </w:rPr>
        <w:t>Derry v Peek</w:t>
      </w:r>
      <w:r w:rsidRPr="00CC475F">
        <w:rPr>
          <w:color w:val="202122"/>
          <w:lang w:eastAsia="es-MX"/>
        </w:rPr>
        <w:t> [1889</w:t>
      </w:r>
      <w:r w:rsidRPr="00CC475F">
        <w:rPr>
          <w:lang w:eastAsia="es-MX"/>
        </w:rPr>
        <w:t>] UKHL 1 is a case on English contract law, fraudulent misstatement, and the tort of deceit.</w:t>
      </w:r>
    </w:p>
    <w:p w:rsidR="001C6605" w:rsidRPr="00CC475F" w:rsidRDefault="001C6605" w:rsidP="001C6605">
      <w:pPr>
        <w:shd w:val="clear" w:color="auto" w:fill="FFFFFF"/>
        <w:spacing w:before="120" w:after="240"/>
        <w:rPr>
          <w:color w:val="202122"/>
          <w:lang w:eastAsia="es-MX"/>
        </w:rPr>
      </w:pPr>
      <w:r w:rsidRPr="00CC475F">
        <w:rPr>
          <w:i/>
          <w:iCs/>
          <w:lang w:eastAsia="es-MX"/>
        </w:rPr>
        <w:t>Derry v Peek</w:t>
      </w:r>
      <w:r w:rsidRPr="00CC475F">
        <w:rPr>
          <w:lang w:eastAsia="es-MX"/>
        </w:rPr>
        <w:t> established a 3-part test for fraudulent misrepresentation</w:t>
      </w:r>
      <w:proofErr w:type="gramStart"/>
      <w:r w:rsidRPr="00CC475F">
        <w:rPr>
          <w:lang w:eastAsia="es-MX"/>
        </w:rPr>
        <w:t>,</w:t>
      </w:r>
      <w:r w:rsidRPr="00CC475F">
        <w:rPr>
          <w:vertAlign w:val="superscript"/>
          <w:lang w:eastAsia="es-MX"/>
        </w:rPr>
        <w:t>[</w:t>
      </w:r>
      <w:proofErr w:type="gramEnd"/>
      <w:r w:rsidRPr="00CC475F">
        <w:rPr>
          <w:vertAlign w:val="superscript"/>
          <w:lang w:eastAsia="es-MX"/>
        </w:rPr>
        <w:t>1]</w:t>
      </w:r>
      <w:r w:rsidRPr="00CC475F">
        <w:rPr>
          <w:lang w:eastAsia="es-MX"/>
        </w:rPr>
        <w:t xml:space="preserve"> whereby </w:t>
      </w:r>
      <w:r w:rsidRPr="00CC475F">
        <w:rPr>
          <w:color w:val="202122"/>
          <w:lang w:eastAsia="es-MX"/>
        </w:rPr>
        <w:t>the defendant is fraudulent if he:</w:t>
      </w:r>
    </w:p>
    <w:p w:rsidR="001C6605" w:rsidRPr="00CC475F" w:rsidRDefault="001C6605" w:rsidP="001C6605">
      <w:pPr>
        <w:shd w:val="clear" w:color="auto" w:fill="FFFFFF"/>
        <w:spacing w:after="24"/>
        <w:ind w:left="720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(</w:t>
      </w:r>
      <w:proofErr w:type="spellStart"/>
      <w:r w:rsidRPr="00CC475F">
        <w:rPr>
          <w:color w:val="202122"/>
          <w:lang w:eastAsia="es-MX"/>
        </w:rPr>
        <w:t>i</w:t>
      </w:r>
      <w:proofErr w:type="spellEnd"/>
      <w:r w:rsidRPr="00CC475F">
        <w:rPr>
          <w:color w:val="202122"/>
          <w:lang w:eastAsia="es-MX"/>
        </w:rPr>
        <w:t xml:space="preserve">) </w:t>
      </w:r>
      <w:proofErr w:type="gramStart"/>
      <w:r w:rsidRPr="00CC475F">
        <w:rPr>
          <w:color w:val="202122"/>
          <w:lang w:eastAsia="es-MX"/>
        </w:rPr>
        <w:t>knows</w:t>
      </w:r>
      <w:proofErr w:type="gramEnd"/>
      <w:r w:rsidRPr="00CC475F">
        <w:rPr>
          <w:color w:val="202122"/>
          <w:lang w:eastAsia="es-MX"/>
        </w:rPr>
        <w:t xml:space="preserve"> the statement to be false,</w:t>
      </w:r>
      <w:hyperlink r:id="rId10" w:anchor="cite_note-2" w:history="1">
        <w:r w:rsidRPr="00CC475F">
          <w:rPr>
            <w:color w:val="0000FF"/>
            <w:vertAlign w:val="superscript"/>
            <w:lang w:eastAsia="es-MX"/>
          </w:rPr>
          <w:t>[2]</w:t>
        </w:r>
      </w:hyperlink>
      <w:r w:rsidRPr="00CC475F">
        <w:rPr>
          <w:color w:val="202122"/>
          <w:lang w:eastAsia="es-MX"/>
        </w:rPr>
        <w:t> or</w:t>
      </w:r>
    </w:p>
    <w:p w:rsidR="001C6605" w:rsidRPr="00CC475F" w:rsidRDefault="001C6605" w:rsidP="001C6605">
      <w:pPr>
        <w:shd w:val="clear" w:color="auto" w:fill="FFFFFF"/>
        <w:spacing w:after="24"/>
        <w:ind w:left="720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 xml:space="preserve">(ii) </w:t>
      </w:r>
      <w:proofErr w:type="gramStart"/>
      <w:r w:rsidRPr="00CC475F">
        <w:rPr>
          <w:color w:val="202122"/>
          <w:lang w:eastAsia="es-MX"/>
        </w:rPr>
        <w:t>does</w:t>
      </w:r>
      <w:proofErr w:type="gramEnd"/>
      <w:r w:rsidRPr="00CC475F">
        <w:rPr>
          <w:color w:val="202122"/>
          <w:lang w:eastAsia="es-MX"/>
        </w:rPr>
        <w:t xml:space="preserve"> not believe in the statement,</w:t>
      </w:r>
      <w:hyperlink r:id="rId11" w:anchor="cite_note-3" w:history="1">
        <w:r w:rsidRPr="00CC475F">
          <w:rPr>
            <w:color w:val="0000FF"/>
            <w:vertAlign w:val="superscript"/>
            <w:lang w:eastAsia="es-MX"/>
          </w:rPr>
          <w:t>[3]</w:t>
        </w:r>
      </w:hyperlink>
      <w:r w:rsidRPr="00CC475F">
        <w:rPr>
          <w:color w:val="202122"/>
          <w:lang w:eastAsia="es-MX"/>
        </w:rPr>
        <w:t> or</w:t>
      </w:r>
    </w:p>
    <w:p w:rsidR="001C6605" w:rsidRPr="00CC475F" w:rsidRDefault="001C6605" w:rsidP="001C6605">
      <w:pPr>
        <w:shd w:val="clear" w:color="auto" w:fill="FFFFFF"/>
        <w:spacing w:after="24"/>
        <w:ind w:left="720"/>
        <w:rPr>
          <w:color w:val="202122"/>
          <w:lang w:eastAsia="es-MX"/>
        </w:rPr>
      </w:pPr>
      <w:r w:rsidRPr="00CC475F">
        <w:rPr>
          <w:color w:val="202122"/>
          <w:lang w:eastAsia="es-MX"/>
        </w:rPr>
        <w:t>(</w:t>
      </w:r>
      <w:proofErr w:type="gramStart"/>
      <w:r w:rsidRPr="00CC475F">
        <w:rPr>
          <w:color w:val="202122"/>
          <w:lang w:eastAsia="es-MX"/>
        </w:rPr>
        <w:t>iii</w:t>
      </w:r>
      <w:proofErr w:type="gramEnd"/>
      <w:r w:rsidRPr="00CC475F">
        <w:rPr>
          <w:color w:val="202122"/>
          <w:lang w:eastAsia="es-MX"/>
        </w:rPr>
        <w:t>) is </w:t>
      </w:r>
      <w:r w:rsidRPr="00CC475F">
        <w:rPr>
          <w:lang w:eastAsia="es-MX"/>
        </w:rPr>
        <w:t>reckless </w:t>
      </w:r>
      <w:r w:rsidRPr="00CC475F">
        <w:rPr>
          <w:color w:val="202122"/>
          <w:lang w:eastAsia="es-MX"/>
        </w:rPr>
        <w:t>as to its truth.</w:t>
      </w:r>
    </w:p>
    <w:p w:rsidR="00DD5FB9" w:rsidRPr="00CC475F" w:rsidRDefault="00CC475F" w:rsidP="00DD5FB9">
      <w:pPr>
        <w:numPr>
          <w:ilvl w:val="0"/>
          <w:numId w:val="7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hyperlink r:id="rId12" w:tooltip="United States v. Spearin" w:history="1">
        <w:r w:rsidR="00DD5FB9" w:rsidRPr="00CC475F">
          <w:rPr>
            <w:rStyle w:val="Hyperlink"/>
            <w:i/>
            <w:iCs/>
          </w:rPr>
          <w:t xml:space="preserve">United States v. </w:t>
        </w:r>
        <w:proofErr w:type="spellStart"/>
        <w:r w:rsidR="00DD5FB9" w:rsidRPr="00CC475F">
          <w:rPr>
            <w:rStyle w:val="Hyperlink"/>
            <w:i/>
            <w:iCs/>
          </w:rPr>
          <w:t>Spearin</w:t>
        </w:r>
        <w:proofErr w:type="spellEnd"/>
      </w:hyperlink>
      <w:r w:rsidR="00DD5FB9" w:rsidRPr="00CC475F">
        <w:rPr>
          <w:color w:val="202122"/>
        </w:rPr>
        <w:t>, 248 U.S. 132 (1918) superior knowledge of US government</w:t>
      </w:r>
    </w:p>
    <w:p w:rsidR="00DD5FB9" w:rsidRPr="00CC475F" w:rsidRDefault="00CC475F" w:rsidP="00DD5FB9">
      <w:pPr>
        <w:numPr>
          <w:ilvl w:val="0"/>
          <w:numId w:val="7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hyperlink r:id="rId13" w:tooltip="Helene Curtis Industries, Inc. v. United States" w:history="1">
        <w:r w:rsidR="00DD5FB9" w:rsidRPr="00CC475F">
          <w:rPr>
            <w:rStyle w:val="Hyperlink"/>
            <w:i/>
            <w:iCs/>
          </w:rPr>
          <w:t>Helene Curtis Industries, Inc. v. United States</w:t>
        </w:r>
      </w:hyperlink>
      <w:r w:rsidR="00DD5FB9" w:rsidRPr="00CC475F">
        <w:rPr>
          <w:color w:val="202122"/>
        </w:rPr>
        <w:t> (160 Ct. Cl. 437, 312 F.2d 774 (1963) the </w:t>
      </w:r>
      <w:hyperlink r:id="rId14" w:tooltip="Superior knowledge doctrine" w:history="1">
        <w:r w:rsidR="00DD5FB9" w:rsidRPr="00CC475F">
          <w:rPr>
            <w:rStyle w:val="Hyperlink"/>
          </w:rPr>
          <w:t>superior knowledge doctrine</w:t>
        </w:r>
      </w:hyperlink>
      <w:r w:rsidR="00DD5FB9" w:rsidRPr="00CC475F">
        <w:rPr>
          <w:color w:val="202122"/>
        </w:rPr>
        <w:t> gives the US government a duty of disclosure</w:t>
      </w:r>
    </w:p>
    <w:p w:rsidR="00DD5FB9" w:rsidRPr="00CC475F" w:rsidRDefault="00CC475F" w:rsidP="00DD5FB9">
      <w:pPr>
        <w:numPr>
          <w:ilvl w:val="0"/>
          <w:numId w:val="7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hyperlink r:id="rId15" w:tooltip="Laidlaw v. Organ" w:history="1">
        <w:r w:rsidR="00DD5FB9" w:rsidRPr="00CC475F">
          <w:rPr>
            <w:rStyle w:val="Hyperlink"/>
            <w:i/>
            <w:iCs/>
          </w:rPr>
          <w:t>Laidlaw v. Organ</w:t>
        </w:r>
      </w:hyperlink>
      <w:r w:rsidR="00DD5FB9" w:rsidRPr="00CC475F">
        <w:rPr>
          <w:color w:val="202122"/>
        </w:rPr>
        <w:t> 15 U.S. 178 (1817), on caveat emptor</w:t>
      </w:r>
    </w:p>
    <w:p w:rsidR="00DD5FB9" w:rsidRPr="00CC475F" w:rsidRDefault="00CC475F" w:rsidP="00DD5FB9">
      <w:pPr>
        <w:numPr>
          <w:ilvl w:val="0"/>
          <w:numId w:val="7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hyperlink r:id="rId16" w:tooltip="Obde v. Schlemeyer (page does not exist)" w:history="1">
        <w:proofErr w:type="spellStart"/>
        <w:r w:rsidR="00DD5FB9" w:rsidRPr="00CC475F">
          <w:rPr>
            <w:rStyle w:val="Hyperlink"/>
            <w:i/>
            <w:iCs/>
          </w:rPr>
          <w:t>Obde</w:t>
        </w:r>
        <w:proofErr w:type="spellEnd"/>
        <w:r w:rsidR="00DD5FB9" w:rsidRPr="00CC475F">
          <w:rPr>
            <w:rStyle w:val="Hyperlink"/>
            <w:i/>
            <w:iCs/>
          </w:rPr>
          <w:t xml:space="preserve"> v. </w:t>
        </w:r>
        <w:proofErr w:type="spellStart"/>
        <w:r w:rsidR="00DD5FB9" w:rsidRPr="00CC475F">
          <w:rPr>
            <w:rStyle w:val="Hyperlink"/>
            <w:i/>
            <w:iCs/>
          </w:rPr>
          <w:t>Schlemeyer</w:t>
        </w:r>
        <w:proofErr w:type="spellEnd"/>
      </w:hyperlink>
      <w:r w:rsidR="00DD5FB9" w:rsidRPr="00CC475F">
        <w:rPr>
          <w:color w:val="202122"/>
        </w:rPr>
        <w:t> 56 Wash 2d 449, 353 P2d 672 (Supreme Court of Washington, 1960) termite infested house not revealed to buyers. Even though no questions asked, seller still liable for failure to disclose.</w:t>
      </w:r>
    </w:p>
    <w:p w:rsidR="00DD5FB9" w:rsidRPr="00CC475F" w:rsidRDefault="00CC475F" w:rsidP="00DD5FB9">
      <w:pPr>
        <w:numPr>
          <w:ilvl w:val="0"/>
          <w:numId w:val="7"/>
        </w:numPr>
        <w:shd w:val="clear" w:color="auto" w:fill="FFFFFF"/>
        <w:spacing w:before="100" w:beforeAutospacing="1" w:after="24"/>
        <w:ind w:left="384"/>
        <w:rPr>
          <w:color w:val="202122"/>
        </w:rPr>
      </w:pPr>
      <w:hyperlink r:id="rId17" w:tooltip="Smith v. Bolles" w:history="1">
        <w:r w:rsidR="00DD5FB9" w:rsidRPr="00CC475F">
          <w:rPr>
            <w:rStyle w:val="Hyperlink"/>
            <w:i/>
            <w:iCs/>
          </w:rPr>
          <w:t xml:space="preserve">Smith v. </w:t>
        </w:r>
        <w:proofErr w:type="spellStart"/>
        <w:r w:rsidR="00DD5FB9" w:rsidRPr="00CC475F">
          <w:rPr>
            <w:rStyle w:val="Hyperlink"/>
            <w:i/>
            <w:iCs/>
          </w:rPr>
          <w:t>Bolles</w:t>
        </w:r>
        <w:proofErr w:type="spellEnd"/>
      </w:hyperlink>
      <w:r w:rsidR="00DD5FB9" w:rsidRPr="00CC475F">
        <w:rPr>
          <w:color w:val="202122"/>
        </w:rPr>
        <w:t>, 132 U.S. 125 (1889) damages for misrepresentation of share sale did not entitle the buyer to get money as if the representation were true</w:t>
      </w:r>
    </w:p>
    <w:p w:rsidR="000000E6" w:rsidRPr="00CC475F" w:rsidRDefault="000000E6" w:rsidP="000000E6">
      <w:pPr>
        <w:pStyle w:val="Heading3"/>
        <w:shd w:val="clear" w:color="auto" w:fill="FFFFFF"/>
        <w:spacing w:before="0" w:beforeAutospacing="0" w:after="60" w:afterAutospacing="0"/>
        <w:rPr>
          <w:sz w:val="24"/>
          <w:szCs w:val="24"/>
          <w:lang w:val="en-US"/>
        </w:rPr>
      </w:pPr>
      <w:proofErr w:type="spellStart"/>
      <w:r w:rsidRPr="00CC475F">
        <w:rPr>
          <w:sz w:val="24"/>
          <w:szCs w:val="24"/>
          <w:lang w:val="en-US"/>
        </w:rPr>
        <w:t>Privity</w:t>
      </w:r>
      <w:proofErr w:type="spellEnd"/>
    </w:p>
    <w:p w:rsidR="000000E6" w:rsidRPr="00CC475F" w:rsidRDefault="000000E6" w:rsidP="000000E6">
      <w:pPr>
        <w:pStyle w:val="NormalWeb"/>
        <w:shd w:val="clear" w:color="auto" w:fill="FFFFFF"/>
        <w:spacing w:before="120" w:beforeAutospacing="0" w:after="240" w:afterAutospacing="0"/>
        <w:rPr>
          <w:color w:val="202122"/>
          <w:lang w:val="en-US"/>
        </w:rPr>
      </w:pPr>
      <w:r w:rsidRPr="00CC475F">
        <w:rPr>
          <w:color w:val="202122"/>
          <w:lang w:val="en-US"/>
        </w:rPr>
        <w:t xml:space="preserve">Under the principle of </w:t>
      </w:r>
      <w:proofErr w:type="spellStart"/>
      <w:r w:rsidRPr="00CC475F">
        <w:rPr>
          <w:color w:val="202122"/>
          <w:lang w:val="en-US"/>
        </w:rPr>
        <w:t>privity</w:t>
      </w:r>
      <w:proofErr w:type="spellEnd"/>
      <w:r w:rsidRPr="00CC475F">
        <w:rPr>
          <w:color w:val="202122"/>
          <w:lang w:val="en-US"/>
        </w:rPr>
        <w:t>, a person may not reap the benefits or be required to suffer the burdens of a contract to which they were not a party.</w:t>
      </w:r>
      <w:hyperlink r:id="rId18" w:anchor="cite_note-7" w:history="1">
        <w:r w:rsidRPr="00CC475F">
          <w:rPr>
            <w:rStyle w:val="cite-bracket"/>
            <w:color w:val="0000FF"/>
            <w:vertAlign w:val="superscript"/>
            <w:lang w:val="en-US"/>
          </w:rPr>
          <w:t>[</w:t>
        </w:r>
        <w:r w:rsidRPr="00CC475F">
          <w:rPr>
            <w:rStyle w:val="Hyperlink"/>
            <w:vertAlign w:val="superscript"/>
            <w:lang w:val="en-US"/>
          </w:rPr>
          <w:t>7</w:t>
        </w:r>
        <w:r w:rsidRPr="00CC475F">
          <w:rPr>
            <w:rStyle w:val="cite-bracket"/>
            <w:color w:val="0000FF"/>
            <w:vertAlign w:val="superscript"/>
            <w:lang w:val="en-US"/>
          </w:rPr>
          <w:t>]</w:t>
        </w:r>
      </w:hyperlink>
    </w:p>
    <w:p w:rsidR="001C6605" w:rsidRPr="00CC475F" w:rsidRDefault="001C6605" w:rsidP="001C6605"/>
    <w:p w:rsidR="00CC475F" w:rsidRPr="00CC475F" w:rsidRDefault="00CC475F" w:rsidP="00DD5FB9">
      <w:pPr>
        <w:pStyle w:val="NormalWeb"/>
        <w:shd w:val="clear" w:color="auto" w:fill="FFFFFF"/>
        <w:spacing w:before="120" w:beforeAutospacing="0" w:after="240" w:afterAutospacing="0"/>
        <w:jc w:val="center"/>
        <w:rPr>
          <w:b/>
          <w:color w:val="202122"/>
          <w:lang w:val="en-US"/>
        </w:rPr>
      </w:pPr>
      <w:r w:rsidRPr="00CC475F">
        <w:rPr>
          <w:b/>
          <w:color w:val="202122"/>
          <w:lang w:val="en-US"/>
        </w:rPr>
        <w:t>ELEMENTS OF USURY</w:t>
      </w:r>
    </w:p>
    <w:p w:rsidR="00CC475F" w:rsidRPr="00CC475F" w:rsidRDefault="00CC475F" w:rsidP="00CC475F">
      <w:pPr>
        <w:pStyle w:val="Heading1"/>
        <w:shd w:val="clear" w:color="auto" w:fill="FFFFFF"/>
        <w:spacing w:before="300" w:after="150"/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  <w:lastRenderedPageBreak/>
        <w:t>U</w:t>
      </w:r>
      <w:r w:rsidRPr="00CC475F"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>sury</w:t>
      </w:r>
      <w:r>
        <w:rPr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 xml:space="preserve">: 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Usury is 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interest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 that a lender charges a borrower at a rate above the lawful ceiling on such charges; a </w:t>
      </w:r>
      <w:hyperlink r:id="rId19" w:history="1">
        <w:r w:rsidRPr="00CC475F">
          <w:rPr>
            <w:rStyle w:val="Hyperlink"/>
            <w:rFonts w:ascii="Times New Roman" w:hAnsi="Times New Roman" w:cs="Times New Roman"/>
            <w:b w:val="0"/>
            <w:color w:val="001C72"/>
            <w:sz w:val="24"/>
            <w:szCs w:val="24"/>
          </w:rPr>
          <w:t>contract</w:t>
        </w:r>
      </w:hyperlink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 upon the loan of money with an illegally high interest rate as a 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condition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 of the </w:t>
      </w:r>
      <w:hyperlink r:id="rId20" w:history="1">
        <w:r w:rsidRPr="00CC475F">
          <w:rPr>
            <w:rStyle w:val="Hyperlink"/>
            <w:rFonts w:ascii="Times New Roman" w:hAnsi="Times New Roman" w:cs="Times New Roman"/>
            <w:b w:val="0"/>
            <w:color w:val="001C72"/>
            <w:sz w:val="24"/>
            <w:szCs w:val="24"/>
          </w:rPr>
          <w:t>loan</w:t>
        </w:r>
      </w:hyperlink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. Usury is also the act of making a loan at such an interest rate; making a loan at a </w:t>
      </w:r>
      <w:hyperlink r:id="rId21" w:history="1">
        <w:r w:rsidRPr="00CC475F">
          <w:rPr>
            <w:rStyle w:val="Hyperlink"/>
            <w:rFonts w:ascii="Times New Roman" w:hAnsi="Times New Roman" w:cs="Times New Roman"/>
            <w:b w:val="0"/>
            <w:color w:val="001C72"/>
            <w:sz w:val="24"/>
            <w:szCs w:val="24"/>
          </w:rPr>
          <w:t>usurious</w:t>
        </w:r>
      </w:hyperlink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 rate. 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  <w:highlight w:val="yellow"/>
        </w:rPr>
        <w:t>The </w:t>
      </w:r>
      <w:hyperlink r:id="rId22" w:history="1">
        <w:r w:rsidRPr="00CC475F">
          <w:rPr>
            <w:rStyle w:val="Hyperlink"/>
            <w:rFonts w:ascii="Times New Roman" w:hAnsi="Times New Roman" w:cs="Times New Roman"/>
            <w:b w:val="0"/>
            <w:color w:val="001C72"/>
            <w:sz w:val="24"/>
            <w:szCs w:val="24"/>
            <w:highlight w:val="yellow"/>
          </w:rPr>
          <w:t>agreement</w:t>
        </w:r>
      </w:hyperlink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, and not necessarily its 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>performance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</w:rPr>
        <w:t xml:space="preserve">, </w:t>
      </w:r>
      <w:r w:rsidRPr="00CC475F">
        <w:rPr>
          <w:rFonts w:ascii="Times New Roman" w:hAnsi="Times New Roman" w:cs="Times New Roman"/>
          <w:b w:val="0"/>
          <w:color w:val="333333"/>
          <w:sz w:val="24"/>
          <w:szCs w:val="24"/>
          <w:highlight w:val="yellow"/>
        </w:rPr>
        <w:t xml:space="preserve">is what </w:t>
      </w:r>
      <w:proofErr w:type="gramStart"/>
      <w:r w:rsidRPr="00CC475F">
        <w:rPr>
          <w:rFonts w:ascii="Times New Roman" w:hAnsi="Times New Roman" w:cs="Times New Roman"/>
          <w:b w:val="0"/>
          <w:color w:val="333333"/>
          <w:sz w:val="24"/>
          <w:szCs w:val="24"/>
          <w:highlight w:val="yellow"/>
        </w:rPr>
        <w:t>renders</w:t>
      </w:r>
      <w:proofErr w:type="gramEnd"/>
      <w:r w:rsidRPr="00CC475F">
        <w:rPr>
          <w:rFonts w:ascii="Times New Roman" w:hAnsi="Times New Roman" w:cs="Times New Roman"/>
          <w:b w:val="0"/>
          <w:color w:val="333333"/>
          <w:sz w:val="24"/>
          <w:szCs w:val="24"/>
          <w:highlight w:val="yellow"/>
        </w:rPr>
        <w:t xml:space="preserve"> a </w:t>
      </w:r>
      <w:hyperlink r:id="rId23" w:history="1">
        <w:r w:rsidRPr="00CC475F">
          <w:rPr>
            <w:rStyle w:val="Hyperlink"/>
            <w:rFonts w:ascii="Times New Roman" w:hAnsi="Times New Roman" w:cs="Times New Roman"/>
            <w:b w:val="0"/>
            <w:color w:val="001C72"/>
            <w:sz w:val="24"/>
            <w:szCs w:val="24"/>
            <w:highlight w:val="yellow"/>
          </w:rPr>
          <w:t>debt</w:t>
        </w:r>
      </w:hyperlink>
      <w:r w:rsidRPr="00CC475F">
        <w:rPr>
          <w:rFonts w:ascii="Times New Roman" w:hAnsi="Times New Roman" w:cs="Times New Roman"/>
          <w:b w:val="0"/>
          <w:color w:val="333333"/>
          <w:sz w:val="24"/>
          <w:szCs w:val="24"/>
          <w:highlight w:val="yellow"/>
        </w:rPr>
        <w:t> usurious.</w:t>
      </w:r>
    </w:p>
    <w:p w:rsidR="00CC475F" w:rsidRDefault="00CC475F" w:rsidP="00CC475F">
      <w:pPr>
        <w:pStyle w:val="NormalWeb"/>
        <w:shd w:val="clear" w:color="auto" w:fill="FFFFFF"/>
        <w:spacing w:before="0" w:beforeAutospacing="0" w:after="150" w:afterAutospacing="0"/>
        <w:rPr>
          <w:color w:val="333333"/>
          <w:lang w:val="en-US"/>
        </w:rPr>
      </w:pPr>
      <w:r w:rsidRPr="00CC475F">
        <w:rPr>
          <w:color w:val="333333"/>
          <w:lang w:val="en-US"/>
        </w:rPr>
        <w:t>The three essential </w:t>
      </w:r>
      <w:r w:rsidRPr="00CC475F">
        <w:rPr>
          <w:color w:val="333333"/>
          <w:lang w:val="en-US"/>
        </w:rPr>
        <w:t>elements</w:t>
      </w:r>
      <w:r w:rsidRPr="00CC475F">
        <w:rPr>
          <w:color w:val="333333"/>
          <w:lang w:val="en-US"/>
        </w:rPr>
        <w:t xml:space="preserve"> of usury are: </w:t>
      </w:r>
    </w:p>
    <w:p w:rsidR="00CC475F" w:rsidRDefault="00CC475F" w:rsidP="00CC475F">
      <w:pPr>
        <w:pStyle w:val="NormalWeb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CC475F">
        <w:rPr>
          <w:color w:val="333333"/>
          <w:lang w:val="en-US"/>
        </w:rPr>
        <w:t xml:space="preserve">(1) </w:t>
      </w:r>
      <w:proofErr w:type="gramStart"/>
      <w:r w:rsidRPr="00CC475F">
        <w:rPr>
          <w:color w:val="333333"/>
          <w:lang w:val="en-US"/>
        </w:rPr>
        <w:t>a</w:t>
      </w:r>
      <w:proofErr w:type="gramEnd"/>
      <w:r w:rsidRPr="00CC475F">
        <w:rPr>
          <w:color w:val="333333"/>
          <w:lang w:val="en-US"/>
        </w:rPr>
        <w:t xml:space="preserve"> loan or </w:t>
      </w:r>
      <w:hyperlink r:id="rId24" w:history="1">
        <w:r w:rsidRPr="00CC475F">
          <w:rPr>
            <w:rStyle w:val="Hyperlink"/>
            <w:color w:val="001C72"/>
            <w:lang w:val="en-US"/>
          </w:rPr>
          <w:t>forbearance</w:t>
        </w:r>
      </w:hyperlink>
      <w:r w:rsidRPr="00CC475F">
        <w:rPr>
          <w:color w:val="333333"/>
          <w:lang w:val="en-US"/>
        </w:rPr>
        <w:t xml:space="preserve"> of money, </w:t>
      </w:r>
    </w:p>
    <w:p w:rsidR="00CC475F" w:rsidRDefault="00CC475F" w:rsidP="00CC475F">
      <w:pPr>
        <w:pStyle w:val="NormalWeb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CC475F">
        <w:rPr>
          <w:color w:val="333333"/>
          <w:lang w:val="en-US"/>
        </w:rPr>
        <w:t xml:space="preserve">(2) </w:t>
      </w:r>
      <w:proofErr w:type="gramStart"/>
      <w:r w:rsidRPr="00CC475F">
        <w:rPr>
          <w:color w:val="333333"/>
          <w:lang w:val="en-US"/>
        </w:rPr>
        <w:t>an</w:t>
      </w:r>
      <w:proofErr w:type="gramEnd"/>
      <w:r w:rsidRPr="00CC475F">
        <w:rPr>
          <w:color w:val="333333"/>
          <w:lang w:val="en-US"/>
        </w:rPr>
        <w:t xml:space="preserve"> agreement for a return of the money in all events; and </w:t>
      </w:r>
    </w:p>
    <w:p w:rsidR="00CC475F" w:rsidRDefault="00CC475F" w:rsidP="00CC475F">
      <w:pPr>
        <w:pStyle w:val="NormalWeb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  <w:r w:rsidRPr="00CC475F">
        <w:rPr>
          <w:color w:val="333333"/>
          <w:lang w:val="en-US"/>
        </w:rPr>
        <w:t xml:space="preserve">(3) </w:t>
      </w:r>
      <w:proofErr w:type="gramStart"/>
      <w:r w:rsidRPr="00CC475F">
        <w:rPr>
          <w:color w:val="333333"/>
          <w:lang w:val="en-US"/>
        </w:rPr>
        <w:t>an</w:t>
      </w:r>
      <w:proofErr w:type="gramEnd"/>
      <w:r w:rsidRPr="00CC475F">
        <w:rPr>
          <w:color w:val="333333"/>
          <w:lang w:val="en-US"/>
        </w:rPr>
        <w:t xml:space="preserve"> agreement to pay more than the </w:t>
      </w:r>
      <w:hyperlink r:id="rId25" w:history="1">
        <w:r w:rsidRPr="00CC475F">
          <w:rPr>
            <w:rStyle w:val="Hyperlink"/>
            <w:color w:val="001C72"/>
            <w:lang w:val="en-US"/>
          </w:rPr>
          <w:t>legal</w:t>
        </w:r>
      </w:hyperlink>
      <w:r w:rsidRPr="00CC475F">
        <w:rPr>
          <w:color w:val="333333"/>
          <w:lang w:val="en-US"/>
        </w:rPr>
        <w:t> rate of interest for its use.</w:t>
      </w:r>
    </w:p>
    <w:p w:rsidR="00CC475F" w:rsidRPr="00CC475F" w:rsidRDefault="00CC475F" w:rsidP="00CC475F">
      <w:pPr>
        <w:pStyle w:val="NormalWeb"/>
        <w:shd w:val="clear" w:color="auto" w:fill="FFFFFF"/>
        <w:spacing w:before="0" w:beforeAutospacing="0" w:after="0" w:afterAutospacing="0"/>
        <w:rPr>
          <w:color w:val="333333"/>
          <w:lang w:val="en-US"/>
        </w:rPr>
      </w:pPr>
    </w:p>
    <w:p w:rsidR="00CC475F" w:rsidRPr="00CC475F" w:rsidRDefault="00CC475F" w:rsidP="00CC475F">
      <w:pPr>
        <w:pStyle w:val="NormalWeb"/>
        <w:shd w:val="clear" w:color="auto" w:fill="FFFFFF"/>
        <w:spacing w:before="0" w:beforeAutospacing="0" w:after="150" w:afterAutospacing="0"/>
        <w:rPr>
          <w:color w:val="333333"/>
          <w:lang w:val="en-US"/>
        </w:rPr>
      </w:pPr>
      <w:r w:rsidRPr="00CC475F">
        <w:rPr>
          <w:color w:val="333333"/>
          <w:lang w:val="en-US"/>
        </w:rPr>
        <w:t>Usury is usually defined by state </w:t>
      </w:r>
      <w:hyperlink r:id="rId26" w:history="1">
        <w:r w:rsidRPr="00CC475F">
          <w:rPr>
            <w:rStyle w:val="Hyperlink"/>
            <w:color w:val="001C72"/>
            <w:lang w:val="en-US"/>
          </w:rPr>
          <w:t>statutes</w:t>
        </w:r>
      </w:hyperlink>
      <w:r w:rsidRPr="00CC475F">
        <w:rPr>
          <w:color w:val="333333"/>
          <w:lang w:val="en-US"/>
        </w:rPr>
        <w:t>.</w:t>
      </w:r>
      <w:r w:rsidRPr="00CC475F">
        <w:rPr>
          <w:color w:val="333333"/>
          <w:lang w:val="en-US"/>
        </w:rPr>
        <w:t xml:space="preserve"> </w:t>
      </w:r>
    </w:p>
    <w:p w:rsidR="00CC475F" w:rsidRPr="00CC475F" w:rsidRDefault="00CC475F" w:rsidP="00DD5FB9">
      <w:pPr>
        <w:pStyle w:val="NormalWeb"/>
        <w:shd w:val="clear" w:color="auto" w:fill="FFFFFF"/>
        <w:spacing w:before="120" w:beforeAutospacing="0" w:after="240" w:afterAutospacing="0"/>
        <w:jc w:val="center"/>
        <w:rPr>
          <w:b/>
          <w:color w:val="202122"/>
          <w:lang w:val="en-US"/>
        </w:rPr>
      </w:pPr>
    </w:p>
    <w:p w:rsidR="00DD5FB9" w:rsidRPr="00CC475F" w:rsidRDefault="00DD5FB9" w:rsidP="00DD5FB9">
      <w:pPr>
        <w:pStyle w:val="NormalWeb"/>
        <w:shd w:val="clear" w:color="auto" w:fill="FFFFFF"/>
        <w:spacing w:before="120" w:beforeAutospacing="0" w:after="240" w:afterAutospacing="0"/>
        <w:jc w:val="center"/>
        <w:rPr>
          <w:b/>
          <w:color w:val="202122"/>
          <w:lang w:val="en-US"/>
        </w:rPr>
      </w:pPr>
      <w:r w:rsidRPr="00CC475F">
        <w:rPr>
          <w:b/>
          <w:color w:val="202122"/>
          <w:lang w:val="en-US"/>
        </w:rPr>
        <w:t>THE SUPERIOR KNOWLEDGE DOCTRINE</w:t>
      </w:r>
    </w:p>
    <w:p w:rsidR="00DD5FB9" w:rsidRPr="00CC475F" w:rsidRDefault="00DD5FB9" w:rsidP="00DD5FB9">
      <w:pPr>
        <w:pStyle w:val="NormalWeb"/>
        <w:shd w:val="clear" w:color="auto" w:fill="FFFFFF"/>
        <w:spacing w:before="120" w:beforeAutospacing="0" w:after="240" w:afterAutospacing="0"/>
        <w:rPr>
          <w:color w:val="202122"/>
          <w:lang w:val="en-US"/>
        </w:rPr>
      </w:pPr>
      <w:r w:rsidRPr="00CC475F">
        <w:rPr>
          <w:color w:val="202122"/>
          <w:lang w:val="en-US"/>
        </w:rPr>
        <w:t>The </w:t>
      </w:r>
      <w:r w:rsidRPr="00CC475F">
        <w:rPr>
          <w:b/>
          <w:bCs/>
          <w:color w:val="202122"/>
          <w:lang w:val="en-US"/>
        </w:rPr>
        <w:t>superior knowledge doctrine</w:t>
      </w:r>
      <w:r w:rsidRPr="00CC475F">
        <w:rPr>
          <w:color w:val="202122"/>
          <w:lang w:val="en-US"/>
        </w:rPr>
        <w:t> is a principle in United States contract law which states that the government must disclose to a contractor any otherwise unavailable information that is vital to contract performance. It is also referred to as "the Helene Curtis doctrine of superior knowledge.</w:t>
      </w:r>
      <w:hyperlink r:id="rId27" w:anchor="cite_note-claims-1" w:history="1">
        <w:r w:rsidRPr="00CC475F">
          <w:rPr>
            <w:rStyle w:val="cite-bracket"/>
            <w:color w:val="0000FF"/>
            <w:vertAlign w:val="superscript"/>
            <w:lang w:val="en-US"/>
          </w:rPr>
          <w:t>[</w:t>
        </w:r>
        <w:r w:rsidRPr="00CC475F">
          <w:rPr>
            <w:rStyle w:val="Hyperlink"/>
            <w:vertAlign w:val="superscript"/>
            <w:lang w:val="en-US"/>
          </w:rPr>
          <w:t>1</w:t>
        </w:r>
        <w:proofErr w:type="gramStart"/>
        <w:r w:rsidRPr="00CC475F">
          <w:rPr>
            <w:rStyle w:val="cite-bracket"/>
            <w:color w:val="0000FF"/>
            <w:vertAlign w:val="superscript"/>
            <w:lang w:val="en-US"/>
          </w:rPr>
          <w:t>]</w:t>
        </w:r>
        <w:proofErr w:type="gramEnd"/>
      </w:hyperlink>
      <w:hyperlink r:id="rId28" w:anchor="cite_note-update-2" w:history="1">
        <w:r w:rsidRPr="00CC475F">
          <w:rPr>
            <w:rStyle w:val="cite-bracket"/>
            <w:color w:val="0000FF"/>
            <w:vertAlign w:val="superscript"/>
            <w:lang w:val="en-US"/>
          </w:rPr>
          <w:t>[</w:t>
        </w:r>
        <w:r w:rsidRPr="00CC475F">
          <w:rPr>
            <w:rStyle w:val="Hyperlink"/>
            <w:vertAlign w:val="superscript"/>
            <w:lang w:val="en-US"/>
          </w:rPr>
          <w:t>2</w:t>
        </w:r>
        <w:r w:rsidRPr="00CC475F">
          <w:rPr>
            <w:rStyle w:val="cite-bracket"/>
            <w:color w:val="0000FF"/>
            <w:vertAlign w:val="superscript"/>
            <w:lang w:val="en-US"/>
          </w:rPr>
          <w:t>]</w:t>
        </w:r>
      </w:hyperlink>
    </w:p>
    <w:p w:rsidR="00DD5FB9" w:rsidRPr="00CC475F" w:rsidRDefault="00DD5FB9" w:rsidP="00DD5FB9">
      <w:pPr>
        <w:pStyle w:val="NormalWeb"/>
        <w:shd w:val="clear" w:color="auto" w:fill="FFFFFF"/>
        <w:spacing w:before="120" w:beforeAutospacing="0" w:after="240" w:afterAutospacing="0"/>
        <w:rPr>
          <w:color w:val="202122"/>
          <w:lang w:val="en-US"/>
        </w:rPr>
      </w:pPr>
      <w:r w:rsidRPr="00CC475F">
        <w:rPr>
          <w:color w:val="202122"/>
          <w:lang w:val="en-US"/>
        </w:rPr>
        <w:t>In order to recover under the superior knowledge doctrine, a contractor must prove each of the following elements:</w:t>
      </w:r>
    </w:p>
    <w:p w:rsidR="00DD5FB9" w:rsidRPr="00CC475F" w:rsidRDefault="00DD5FB9" w:rsidP="00DD5FB9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rPr>
          <w:color w:val="202122"/>
        </w:rPr>
      </w:pPr>
      <w:r w:rsidRPr="00CC475F">
        <w:rPr>
          <w:color w:val="202122"/>
        </w:rPr>
        <w:t xml:space="preserve">The contractor undertook to perform the contract </w:t>
      </w:r>
      <w:r w:rsidRPr="00CC475F">
        <w:rPr>
          <w:color w:val="202122"/>
          <w:u w:val="single"/>
        </w:rPr>
        <w:t>without vital knowledge of a fact directly affecting performance, cost, or duration of the contract</w:t>
      </w:r>
      <w:r w:rsidRPr="00CC475F">
        <w:rPr>
          <w:color w:val="202122"/>
        </w:rPr>
        <w:t>.</w:t>
      </w:r>
    </w:p>
    <w:p w:rsidR="00DD5FB9" w:rsidRPr="00CC475F" w:rsidRDefault="00DD5FB9" w:rsidP="00DD5FB9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rPr>
          <w:color w:val="202122"/>
        </w:rPr>
      </w:pPr>
      <w:r w:rsidRPr="00CC475F">
        <w:rPr>
          <w:color w:val="202122"/>
          <w:u w:val="single"/>
        </w:rPr>
        <w:t>The government was aware that the contractor had no knowledge of the information, and that the contractor had no reason to attempt to obtain this information</w:t>
      </w:r>
      <w:r w:rsidRPr="00CC475F">
        <w:rPr>
          <w:color w:val="202122"/>
        </w:rPr>
        <w:t>.</w:t>
      </w:r>
    </w:p>
    <w:p w:rsidR="00DD5FB9" w:rsidRPr="00CC475F" w:rsidRDefault="00DD5FB9" w:rsidP="00DD5FB9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rPr>
          <w:color w:val="202122"/>
        </w:rPr>
      </w:pPr>
      <w:r w:rsidRPr="00CC475F">
        <w:rPr>
          <w:color w:val="202122"/>
          <w:u w:val="single"/>
        </w:rPr>
        <w:t>A contract specification that the government supplied to the contractor misled the contractor, or failed to put the contractor on notice to inquire more</w:t>
      </w:r>
      <w:r w:rsidRPr="00CC475F">
        <w:rPr>
          <w:color w:val="202122"/>
        </w:rPr>
        <w:t>.</w:t>
      </w:r>
    </w:p>
    <w:p w:rsidR="00DD5FB9" w:rsidRPr="00CC475F" w:rsidRDefault="00DD5FB9" w:rsidP="00DD5FB9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rPr>
          <w:color w:val="202122"/>
        </w:rPr>
      </w:pPr>
      <w:r w:rsidRPr="00CC475F">
        <w:rPr>
          <w:color w:val="202122"/>
          <w:u w:val="single"/>
        </w:rPr>
        <w:t>The government failed to provide the relevant information</w:t>
      </w:r>
      <w:r w:rsidRPr="00CC475F">
        <w:rPr>
          <w:color w:val="202122"/>
        </w:rPr>
        <w:t>.</w:t>
      </w:r>
      <w:hyperlink r:id="rId29" w:anchor="cite_note-claims-1" w:history="1">
        <w:r w:rsidRPr="00CC475F">
          <w:rPr>
            <w:rStyle w:val="cite-bracket"/>
            <w:color w:val="0000FF"/>
            <w:vertAlign w:val="superscript"/>
          </w:rPr>
          <w:t>[</w:t>
        </w:r>
        <w:r w:rsidRPr="00CC475F">
          <w:rPr>
            <w:rStyle w:val="Hyperlink"/>
            <w:vertAlign w:val="superscript"/>
          </w:rPr>
          <w:t>1</w:t>
        </w:r>
        <w:r w:rsidRPr="00CC475F">
          <w:rPr>
            <w:rStyle w:val="cite-bracket"/>
            <w:color w:val="0000FF"/>
            <w:vertAlign w:val="superscript"/>
          </w:rPr>
          <w:t>]</w:t>
        </w:r>
      </w:hyperlink>
      <w:hyperlink r:id="rId30" w:anchor="cite_note-update-2" w:history="1">
        <w:r w:rsidRPr="00CC475F">
          <w:rPr>
            <w:rStyle w:val="cite-bracket"/>
            <w:color w:val="0000FF"/>
            <w:vertAlign w:val="superscript"/>
          </w:rPr>
          <w:t>[</w:t>
        </w:r>
        <w:r w:rsidRPr="00CC475F">
          <w:rPr>
            <w:rStyle w:val="Hyperlink"/>
            <w:vertAlign w:val="superscript"/>
          </w:rPr>
          <w:t>2</w:t>
        </w:r>
        <w:r w:rsidRPr="00CC475F">
          <w:rPr>
            <w:rStyle w:val="cite-bracket"/>
            <w:color w:val="0000FF"/>
            <w:vertAlign w:val="superscript"/>
          </w:rPr>
          <w:t>]</w:t>
        </w:r>
      </w:hyperlink>
      <w:hyperlink r:id="rId31" w:anchor="cite_note-3" w:history="1">
        <w:r w:rsidRPr="00CC475F">
          <w:rPr>
            <w:rStyle w:val="cite-bracket"/>
            <w:color w:val="0000FF"/>
            <w:vertAlign w:val="superscript"/>
          </w:rPr>
          <w:t>[</w:t>
        </w:r>
        <w:r w:rsidRPr="00CC475F">
          <w:rPr>
            <w:rStyle w:val="Hyperlink"/>
            <w:vertAlign w:val="superscript"/>
          </w:rPr>
          <w:t>3</w:t>
        </w:r>
        <w:r w:rsidRPr="00CC475F">
          <w:rPr>
            <w:rStyle w:val="cite-bracket"/>
            <w:color w:val="0000FF"/>
            <w:vertAlign w:val="superscript"/>
          </w:rPr>
          <w:t>]</w:t>
        </w:r>
      </w:hyperlink>
    </w:p>
    <w:p w:rsidR="00DD5FB9" w:rsidRPr="00CC475F" w:rsidRDefault="00DD5FB9" w:rsidP="001C6605"/>
    <w:sectPr w:rsidR="00DD5FB9" w:rsidRPr="00CC47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15A6"/>
    <w:multiLevelType w:val="multilevel"/>
    <w:tmpl w:val="66788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52039E"/>
    <w:multiLevelType w:val="multilevel"/>
    <w:tmpl w:val="D1484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E2747D"/>
    <w:multiLevelType w:val="multilevel"/>
    <w:tmpl w:val="6144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064267"/>
    <w:multiLevelType w:val="multilevel"/>
    <w:tmpl w:val="45A2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7637DC"/>
    <w:multiLevelType w:val="multilevel"/>
    <w:tmpl w:val="50E83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451C9"/>
    <w:multiLevelType w:val="hybridMultilevel"/>
    <w:tmpl w:val="A21ED22C"/>
    <w:lvl w:ilvl="0" w:tplc="2E8043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544E"/>
    <w:multiLevelType w:val="multilevel"/>
    <w:tmpl w:val="FE90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626694"/>
    <w:multiLevelType w:val="hybridMultilevel"/>
    <w:tmpl w:val="8AE263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2D"/>
    <w:rsid w:val="000000E6"/>
    <w:rsid w:val="0004582D"/>
    <w:rsid w:val="001C6605"/>
    <w:rsid w:val="00BF741D"/>
    <w:rsid w:val="00CC475F"/>
    <w:rsid w:val="00DD5FB9"/>
    <w:rsid w:val="00E9412D"/>
    <w:rsid w:val="00EF67A2"/>
    <w:rsid w:val="00F7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47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7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000E6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582D"/>
    <w:pPr>
      <w:spacing w:before="100" w:beforeAutospacing="1" w:after="100" w:afterAutospacing="1"/>
    </w:pPr>
    <w:rPr>
      <w:lang w:val="es-MX" w:eastAsia="es-MX"/>
    </w:rPr>
  </w:style>
  <w:style w:type="paragraph" w:styleId="ListParagraph">
    <w:name w:val="List Paragraph"/>
    <w:basedOn w:val="Normal"/>
    <w:uiPriority w:val="34"/>
    <w:qFormat/>
    <w:rsid w:val="001C6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6605"/>
    <w:rPr>
      <w:color w:val="0000FF"/>
      <w:u w:val="single"/>
    </w:rPr>
  </w:style>
  <w:style w:type="character" w:customStyle="1" w:styleId="cite-bracket">
    <w:name w:val="cite-bracket"/>
    <w:basedOn w:val="DefaultParagraphFont"/>
    <w:rsid w:val="001C6605"/>
  </w:style>
  <w:style w:type="character" w:styleId="Emphasis">
    <w:name w:val="Emphasis"/>
    <w:uiPriority w:val="20"/>
    <w:qFormat/>
    <w:rsid w:val="001C660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000E6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mw-editsection">
    <w:name w:val="mw-editsection"/>
    <w:basedOn w:val="DefaultParagraphFont"/>
    <w:rsid w:val="000000E6"/>
  </w:style>
  <w:style w:type="character" w:customStyle="1" w:styleId="mw-editsection-bracket">
    <w:name w:val="mw-editsection-bracket"/>
    <w:basedOn w:val="DefaultParagraphFont"/>
    <w:rsid w:val="000000E6"/>
  </w:style>
  <w:style w:type="character" w:customStyle="1" w:styleId="Heading1Char">
    <w:name w:val="Heading 1 Char"/>
    <w:basedOn w:val="DefaultParagraphFont"/>
    <w:link w:val="Heading1"/>
    <w:uiPriority w:val="9"/>
    <w:rsid w:val="00CC4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7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47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7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000E6"/>
    <w:pPr>
      <w:spacing w:before="100" w:beforeAutospacing="1" w:after="100" w:afterAutospacing="1"/>
      <w:outlineLvl w:val="2"/>
    </w:pPr>
    <w:rPr>
      <w:b/>
      <w:bCs/>
      <w:sz w:val="27"/>
      <w:szCs w:val="27"/>
      <w:lang w:val="es-MX"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582D"/>
    <w:pPr>
      <w:spacing w:before="100" w:beforeAutospacing="1" w:after="100" w:afterAutospacing="1"/>
    </w:pPr>
    <w:rPr>
      <w:lang w:val="es-MX" w:eastAsia="es-MX"/>
    </w:rPr>
  </w:style>
  <w:style w:type="paragraph" w:styleId="ListParagraph">
    <w:name w:val="List Paragraph"/>
    <w:basedOn w:val="Normal"/>
    <w:uiPriority w:val="34"/>
    <w:qFormat/>
    <w:rsid w:val="001C66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6605"/>
    <w:rPr>
      <w:color w:val="0000FF"/>
      <w:u w:val="single"/>
    </w:rPr>
  </w:style>
  <w:style w:type="character" w:customStyle="1" w:styleId="cite-bracket">
    <w:name w:val="cite-bracket"/>
    <w:basedOn w:val="DefaultParagraphFont"/>
    <w:rsid w:val="001C6605"/>
  </w:style>
  <w:style w:type="character" w:styleId="Emphasis">
    <w:name w:val="Emphasis"/>
    <w:uiPriority w:val="20"/>
    <w:qFormat/>
    <w:rsid w:val="001C660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000E6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mw-editsection">
    <w:name w:val="mw-editsection"/>
    <w:basedOn w:val="DefaultParagraphFont"/>
    <w:rsid w:val="000000E6"/>
  </w:style>
  <w:style w:type="character" w:customStyle="1" w:styleId="mw-editsection-bracket">
    <w:name w:val="mw-editsection-bracket"/>
    <w:basedOn w:val="DefaultParagraphFont"/>
    <w:rsid w:val="000000E6"/>
  </w:style>
  <w:style w:type="character" w:customStyle="1" w:styleId="Heading1Char">
    <w:name w:val="Heading 1 Char"/>
    <w:basedOn w:val="DefaultParagraphFont"/>
    <w:link w:val="Heading1"/>
    <w:uiPriority w:val="9"/>
    <w:rsid w:val="00CC47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7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2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8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483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Helene_Curtis_Industries,_Inc._v._United_States" TargetMode="External"/><Relationship Id="rId18" Type="http://schemas.openxmlformats.org/officeDocument/2006/relationships/hyperlink" Target="https://en.wikipedia.org/wiki/United_States_contract_law" TargetMode="External"/><Relationship Id="rId26" Type="http://schemas.openxmlformats.org/officeDocument/2006/relationships/hyperlink" Target="https://www.law.cornell.edu/wex/statut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law.cornell.edu/wex/usurious" TargetMode="External"/><Relationship Id="rId7" Type="http://schemas.openxmlformats.org/officeDocument/2006/relationships/hyperlink" Target="https://www.law.cornell.edu/supremecourt/text/477/242" TargetMode="External"/><Relationship Id="rId12" Type="http://schemas.openxmlformats.org/officeDocument/2006/relationships/hyperlink" Target="https://en.wikipedia.org/wiki/United_States_v._Spearin" TargetMode="External"/><Relationship Id="rId17" Type="http://schemas.openxmlformats.org/officeDocument/2006/relationships/hyperlink" Target="https://en.wikipedia.org/wiki/Smith_v._Bolles" TargetMode="External"/><Relationship Id="rId25" Type="http://schemas.openxmlformats.org/officeDocument/2006/relationships/hyperlink" Target="https://www.law.cornell.edu/wex/lega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n.wikipedia.org/w/index.php?title=Obde_v._Schlemeyer&amp;action=edit&amp;redlink=1" TargetMode="External"/><Relationship Id="rId20" Type="http://schemas.openxmlformats.org/officeDocument/2006/relationships/hyperlink" Target="https://www.law.cornell.edu/wex/loan" TargetMode="External"/><Relationship Id="rId29" Type="http://schemas.openxmlformats.org/officeDocument/2006/relationships/hyperlink" Target="https://en.wikipedia.org/wiki/Superior_knowledge_doctrin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aw.cornell.edu/supremecourt/text/504/555" TargetMode="External"/><Relationship Id="rId11" Type="http://schemas.openxmlformats.org/officeDocument/2006/relationships/hyperlink" Target="https://en.wikipedia.org/wiki/Derry_v_Peek" TargetMode="External"/><Relationship Id="rId24" Type="http://schemas.openxmlformats.org/officeDocument/2006/relationships/hyperlink" Target="https://www.law.cornell.edu/wex/forbearanc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Laidlaw_v._Organ" TargetMode="External"/><Relationship Id="rId23" Type="http://schemas.openxmlformats.org/officeDocument/2006/relationships/hyperlink" Target="https://www.law.cornell.edu/wex/debt" TargetMode="External"/><Relationship Id="rId28" Type="http://schemas.openxmlformats.org/officeDocument/2006/relationships/hyperlink" Target="https://en.wikipedia.org/wiki/Superior_knowledge_doctrine" TargetMode="External"/><Relationship Id="rId10" Type="http://schemas.openxmlformats.org/officeDocument/2006/relationships/hyperlink" Target="https://en.wikipedia.org/wiki/Derry_v_Peek" TargetMode="External"/><Relationship Id="rId19" Type="http://schemas.openxmlformats.org/officeDocument/2006/relationships/hyperlink" Target="https://www.law.cornell.edu/wex/contract" TargetMode="External"/><Relationship Id="rId31" Type="http://schemas.openxmlformats.org/officeDocument/2006/relationships/hyperlink" Target="https://en.wikipedia.org/wiki/Superior_knowledge_doctr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Britton_v._Turner" TargetMode="External"/><Relationship Id="rId14" Type="http://schemas.openxmlformats.org/officeDocument/2006/relationships/hyperlink" Target="https://en.wikipedia.org/wiki/Superior_knowledge_doctrine" TargetMode="External"/><Relationship Id="rId22" Type="http://schemas.openxmlformats.org/officeDocument/2006/relationships/hyperlink" Target="https://www.law.cornell.edu/wex/agreement" TargetMode="External"/><Relationship Id="rId27" Type="http://schemas.openxmlformats.org/officeDocument/2006/relationships/hyperlink" Target="https://en.wikipedia.org/wiki/Superior_knowledge_doctrine" TargetMode="External"/><Relationship Id="rId30" Type="http://schemas.openxmlformats.org/officeDocument/2006/relationships/hyperlink" Target="https://en.wikipedia.org/wiki/Superior_knowledge_doctrine" TargetMode="External"/><Relationship Id="rId8" Type="http://schemas.openxmlformats.org/officeDocument/2006/relationships/hyperlink" Target="https://www.law.cornell.edu/supremecourt/text/504/5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1225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Benham</dc:creator>
  <cp:lastModifiedBy>Dan Benham</cp:lastModifiedBy>
  <cp:revision>9</cp:revision>
  <dcterms:created xsi:type="dcterms:W3CDTF">2024-10-11T22:04:00Z</dcterms:created>
  <dcterms:modified xsi:type="dcterms:W3CDTF">2024-10-15T00:24:00Z</dcterms:modified>
</cp:coreProperties>
</file>